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8FDB" w14:textId="664C7A1F" w:rsidR="2D664A91" w:rsidRPr="008610A8" w:rsidRDefault="2D664A91" w:rsidP="2D664A91">
      <w:pPr>
        <w:rPr>
          <w:rFonts w:ascii="Arial" w:hAnsi="Arial" w:cs="Arial"/>
        </w:rPr>
      </w:pPr>
    </w:p>
    <w:p w14:paraId="343E85C2" w14:textId="09142E9A" w:rsidR="00842028" w:rsidRPr="008610A8" w:rsidRDefault="00FD4106" w:rsidP="008F043E">
      <w:pPr>
        <w:pStyle w:val="NoSpacing"/>
        <w:jc w:val="center"/>
        <w:rPr>
          <w:rFonts w:ascii="Arial" w:eastAsiaTheme="minorEastAsia" w:hAnsi="Arial" w:cs="Arial"/>
          <w:i/>
          <w:color w:val="2F5496" w:themeColor="accent1" w:themeShade="BF"/>
          <w:sz w:val="26"/>
          <w:szCs w:val="26"/>
        </w:rPr>
      </w:pPr>
      <w:r w:rsidRPr="008610A8">
        <w:rPr>
          <w:rFonts w:ascii="Arial" w:eastAsiaTheme="minorEastAsia" w:hAnsi="Arial" w:cs="Arial"/>
          <w:i/>
          <w:color w:val="2F5496" w:themeColor="accent1" w:themeShade="BF"/>
          <w:sz w:val="26"/>
          <w:szCs w:val="26"/>
          <w:highlight w:val="yellow"/>
        </w:rPr>
        <w:t>[Institution Name]</w:t>
      </w:r>
      <w:r w:rsidRPr="008610A8">
        <w:rPr>
          <w:rFonts w:ascii="Arial" w:eastAsiaTheme="minorEastAsia" w:hAnsi="Arial" w:cs="Arial"/>
          <w:i/>
          <w:color w:val="2F5496" w:themeColor="accent1" w:themeShade="BF"/>
          <w:sz w:val="26"/>
          <w:szCs w:val="26"/>
        </w:rPr>
        <w:t xml:space="preserve"> Community of Practice to Improve Student Experience</w:t>
      </w:r>
    </w:p>
    <w:p w14:paraId="5DD46027" w14:textId="77777777" w:rsidR="008F043E" w:rsidRPr="008610A8" w:rsidRDefault="008F043E" w:rsidP="008F043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374874C" w14:textId="1EF5EF99" w:rsidR="00FD4106" w:rsidRPr="008610A8" w:rsidRDefault="00FD4106" w:rsidP="00FD4106">
      <w:pPr>
        <w:rPr>
          <w:rFonts w:ascii="Arial" w:eastAsiaTheme="minorEastAsia" w:hAnsi="Arial" w:cs="Arial"/>
          <w:color w:val="000000" w:themeColor="text1"/>
        </w:rPr>
      </w:pPr>
      <w:r w:rsidRPr="00FD4106">
        <w:rPr>
          <w:rFonts w:ascii="Arial" w:eastAsiaTheme="minorEastAsia" w:hAnsi="Arial" w:cs="Arial"/>
          <w:color w:val="000000" w:themeColor="text1"/>
        </w:rPr>
        <w:t>Over a decade of research in social psychology indicates that learning mindsets play a role in students’ persistence and achievement; these mindsets are not fixed, but are shaped by messages students receive from society, from daily interactions and observations, and from their experiences in school.  By fostering a positive student experience in the classroom and beyond, colleges can increase a student’s likelihood of persevering through academic challenges to graduation.</w:t>
      </w:r>
    </w:p>
    <w:p w14:paraId="4477794D" w14:textId="3168144F" w:rsidR="2D664A91" w:rsidRPr="008610A8" w:rsidRDefault="00FD4106" w:rsidP="2E8659CC">
      <w:pPr>
        <w:rPr>
          <w:rFonts w:ascii="Arial" w:hAnsi="Arial" w:cs="Arial"/>
        </w:rPr>
      </w:pPr>
      <w:r w:rsidRPr="008610A8">
        <w:rPr>
          <w:rFonts w:ascii="Arial" w:eastAsiaTheme="minorEastAsia" w:hAnsi="Arial" w:cs="Arial"/>
          <w:color w:val="000000" w:themeColor="text1"/>
          <w:highlight w:val="yellow"/>
        </w:rPr>
        <w:t>[Institution name]</w:t>
      </w:r>
      <w:r w:rsidRPr="008610A8">
        <w:rPr>
          <w:rFonts w:ascii="Arial" w:eastAsiaTheme="minorEastAsia" w:hAnsi="Arial" w:cs="Arial"/>
          <w:color w:val="000000" w:themeColor="text1"/>
        </w:rPr>
        <w:t xml:space="preserve"> is launching a community of practice for faculty interested in </w:t>
      </w:r>
      <w:r w:rsidRPr="008610A8">
        <w:rPr>
          <w:rFonts w:ascii="Arial" w:hAnsi="Arial" w:cs="Arial"/>
        </w:rPr>
        <w:t xml:space="preserve">collaborating </w:t>
      </w:r>
      <w:r w:rsidRPr="008610A8">
        <w:rPr>
          <w:rFonts w:ascii="Arial" w:hAnsi="Arial" w:cs="Arial"/>
        </w:rPr>
        <w:t xml:space="preserve">with peers on campus to </w:t>
      </w:r>
      <w:r w:rsidR="00A3262D" w:rsidRPr="008610A8">
        <w:rPr>
          <w:rFonts w:ascii="Arial" w:hAnsi="Arial" w:cs="Arial"/>
        </w:rPr>
        <w:t>implement evidence-based teaching practices to improve student experience</w:t>
      </w:r>
      <w:r w:rsidRPr="008610A8">
        <w:rPr>
          <w:rFonts w:ascii="Arial" w:hAnsi="Arial" w:cs="Arial"/>
        </w:rPr>
        <w:t>.</w:t>
      </w:r>
      <w:r w:rsidR="2E8659CC" w:rsidRPr="008610A8">
        <w:rPr>
          <w:rFonts w:ascii="Arial" w:hAnsi="Arial" w:cs="Arial"/>
        </w:rPr>
        <w:t xml:space="preserve"> </w:t>
      </w:r>
      <w:r w:rsidR="00A3262D" w:rsidRPr="008610A8">
        <w:rPr>
          <w:rFonts w:ascii="Arial" w:hAnsi="Arial" w:cs="Arial"/>
        </w:rPr>
        <w:t>Practices include</w:t>
      </w:r>
      <w:r w:rsidR="2E8659CC" w:rsidRPr="008610A8">
        <w:rPr>
          <w:rFonts w:ascii="Arial" w:hAnsi="Arial" w:cs="Arial"/>
        </w:rPr>
        <w:t xml:space="preserve"> </w:t>
      </w:r>
      <w:r w:rsidR="00A3262D" w:rsidRPr="008610A8">
        <w:rPr>
          <w:rFonts w:ascii="Arial" w:hAnsi="Arial" w:cs="Arial"/>
        </w:rPr>
        <w:t xml:space="preserve">revising syllabi, </w:t>
      </w:r>
      <w:proofErr w:type="gramStart"/>
      <w:r w:rsidR="00A3262D" w:rsidRPr="008610A8">
        <w:rPr>
          <w:rFonts w:ascii="Arial" w:hAnsi="Arial" w:cs="Arial"/>
        </w:rPr>
        <w:t>reviewing</w:t>
      </w:r>
      <w:proofErr w:type="gramEnd"/>
      <w:r w:rsidR="00A3262D" w:rsidRPr="008610A8">
        <w:rPr>
          <w:rFonts w:ascii="Arial" w:hAnsi="Arial" w:cs="Arial"/>
        </w:rPr>
        <w:t xml:space="preserve"> and revising course policies, utilizing new </w:t>
      </w:r>
      <w:r w:rsidR="2E8659CC" w:rsidRPr="008610A8">
        <w:rPr>
          <w:rFonts w:ascii="Arial" w:hAnsi="Arial" w:cs="Arial"/>
        </w:rPr>
        <w:t xml:space="preserve">grading and feedback processes, and other evidence-based approaches that increase sense of belonging, convey a growth mindset, </w:t>
      </w:r>
      <w:r w:rsidR="2E8659CC" w:rsidRPr="008610A8">
        <w:rPr>
          <w:rFonts w:ascii="Arial" w:hAnsi="Arial" w:cs="Arial"/>
        </w:rPr>
        <w:t xml:space="preserve">and </w:t>
      </w:r>
      <w:r w:rsidR="2E8659CC" w:rsidRPr="008610A8">
        <w:rPr>
          <w:rFonts w:ascii="Arial" w:hAnsi="Arial" w:cs="Arial"/>
        </w:rPr>
        <w:t>foster inclusivity and institutional trust</w:t>
      </w:r>
      <w:r w:rsidR="2E8659CC" w:rsidRPr="008610A8">
        <w:rPr>
          <w:rFonts w:ascii="Arial" w:hAnsi="Arial" w:cs="Arial"/>
        </w:rPr>
        <w:t>.</w:t>
      </w:r>
      <w:r w:rsidR="2E8659CC" w:rsidRPr="008610A8">
        <w:rPr>
          <w:rFonts w:ascii="Arial" w:hAnsi="Arial" w:cs="Arial"/>
        </w:rPr>
        <w:t xml:space="preserve"> Faculty will have the opportunity to</w:t>
      </w:r>
      <w:r w:rsidR="00A3262D" w:rsidRPr="008610A8">
        <w:rPr>
          <w:rFonts w:ascii="Arial" w:hAnsi="Arial" w:cs="Arial"/>
        </w:rPr>
        <w:t xml:space="preserve"> get frequent student feedback about their classroom experiences using </w:t>
      </w:r>
      <w:hyperlink r:id="rId10" w:history="1">
        <w:r w:rsidR="00A3262D" w:rsidRPr="008610A8">
          <w:rPr>
            <w:rStyle w:val="Hyperlink"/>
            <w:rFonts w:ascii="Arial" w:hAnsi="Arial" w:cs="Arial"/>
          </w:rPr>
          <w:t>Ascend</w:t>
        </w:r>
      </w:hyperlink>
      <w:r w:rsidR="00A3262D" w:rsidRPr="008610A8">
        <w:rPr>
          <w:rFonts w:ascii="Arial" w:hAnsi="Arial" w:cs="Arial"/>
        </w:rPr>
        <w:t>, a survey tool that helps faculty reflect on and improve their teaching practices.</w:t>
      </w:r>
      <w:r w:rsidR="2E8659CC" w:rsidRPr="008610A8">
        <w:rPr>
          <w:rFonts w:ascii="Arial" w:hAnsi="Arial" w:cs="Arial"/>
        </w:rPr>
        <w:t xml:space="preserve"> By participating in the c</w:t>
      </w:r>
      <w:r w:rsidRPr="008610A8">
        <w:rPr>
          <w:rFonts w:ascii="Arial" w:hAnsi="Arial" w:cs="Arial"/>
        </w:rPr>
        <w:t>ommunity of practice</w:t>
      </w:r>
      <w:r w:rsidR="2E8659CC" w:rsidRPr="008610A8">
        <w:rPr>
          <w:rFonts w:ascii="Arial" w:hAnsi="Arial" w:cs="Arial"/>
        </w:rPr>
        <w:t xml:space="preserve">, </w:t>
      </w:r>
      <w:r w:rsidRPr="008610A8">
        <w:rPr>
          <w:rFonts w:ascii="Arial" w:hAnsi="Arial" w:cs="Arial"/>
        </w:rPr>
        <w:t>faculty will</w:t>
      </w:r>
      <w:r w:rsidR="2E8659CC" w:rsidRPr="008610A8">
        <w:rPr>
          <w:rFonts w:ascii="Arial" w:hAnsi="Arial" w:cs="Arial"/>
        </w:rPr>
        <w:t xml:space="preserve"> </w:t>
      </w:r>
      <w:r w:rsidRPr="008610A8">
        <w:rPr>
          <w:rFonts w:ascii="Arial" w:hAnsi="Arial" w:cs="Arial"/>
        </w:rPr>
        <w:t>build expertise in inclusive teaching practices to improve student success for students of all backgrounds at [</w:t>
      </w:r>
      <w:r w:rsidRPr="008610A8">
        <w:rPr>
          <w:rFonts w:ascii="Arial" w:hAnsi="Arial" w:cs="Arial"/>
          <w:highlight w:val="yellow"/>
        </w:rPr>
        <w:t>Institution Name]</w:t>
      </w:r>
      <w:r w:rsidR="2E8659CC" w:rsidRPr="008610A8">
        <w:rPr>
          <w:rFonts w:ascii="Arial" w:hAnsi="Arial" w:cs="Arial"/>
          <w:highlight w:val="yellow"/>
        </w:rPr>
        <w:t>.</w:t>
      </w:r>
    </w:p>
    <w:p w14:paraId="03D17BD9" w14:textId="462F1FCA" w:rsidR="00A3262D" w:rsidRPr="008610A8" w:rsidRDefault="00A3262D" w:rsidP="2E8659CC">
      <w:pPr>
        <w:rPr>
          <w:rFonts w:ascii="Arial" w:eastAsiaTheme="minorEastAsia" w:hAnsi="Arial" w:cs="Arial"/>
          <w:color w:val="000000" w:themeColor="text1"/>
        </w:rPr>
      </w:pPr>
      <w:r w:rsidRPr="008610A8">
        <w:rPr>
          <w:rFonts w:ascii="Arial" w:hAnsi="Arial" w:cs="Arial"/>
          <w:highlight w:val="yellow"/>
        </w:rPr>
        <w:t>[Include information here about stipends or other incentives for participation].</w:t>
      </w:r>
    </w:p>
    <w:p w14:paraId="0DCC665D" w14:textId="404124C0" w:rsidR="34A056DE" w:rsidRPr="008610A8" w:rsidRDefault="52B58469" w:rsidP="52B58469">
      <w:pPr>
        <w:rPr>
          <w:rFonts w:ascii="Arial" w:hAnsi="Arial" w:cs="Arial"/>
          <w:i/>
          <w:iCs/>
        </w:rPr>
      </w:pPr>
      <w:r w:rsidRPr="008610A8">
        <w:rPr>
          <w:rFonts w:ascii="Arial" w:hAnsi="Arial" w:cs="Arial"/>
          <w:b/>
          <w:bCs/>
        </w:rPr>
        <w:t xml:space="preserve">Activities </w:t>
      </w:r>
      <w:r w:rsidRPr="008610A8">
        <w:rPr>
          <w:rFonts w:ascii="Arial" w:hAnsi="Arial" w:cs="Arial"/>
          <w:b/>
          <w:bCs/>
        </w:rPr>
        <w:t xml:space="preserve">for </w:t>
      </w:r>
      <w:r w:rsidR="00A3262D" w:rsidRPr="008610A8">
        <w:rPr>
          <w:rFonts w:ascii="Arial" w:hAnsi="Arial" w:cs="Arial"/>
          <w:b/>
          <w:bCs/>
        </w:rPr>
        <w:t>Community of Practice Participants</w:t>
      </w:r>
      <w:r w:rsidR="008610A8" w:rsidRPr="008610A8">
        <w:rPr>
          <w:rFonts w:ascii="Arial" w:hAnsi="Arial" w:cs="Arial"/>
          <w:b/>
          <w:bCs/>
        </w:rPr>
        <w:t xml:space="preserve"> </w:t>
      </w:r>
      <w:r w:rsidR="008610A8" w:rsidRPr="008610A8">
        <w:rPr>
          <w:rFonts w:ascii="Arial" w:hAnsi="Arial" w:cs="Arial"/>
          <w:i/>
          <w:iCs/>
        </w:rPr>
        <w:t>(adjust bullets below depending on your planned activities)</w:t>
      </w:r>
    </w:p>
    <w:p w14:paraId="2800ACD4" w14:textId="667E1CA5" w:rsidR="006104A3" w:rsidRPr="008610A8" w:rsidRDefault="00FD4106" w:rsidP="00AE5036">
      <w:pPr>
        <w:rPr>
          <w:rFonts w:ascii="Arial" w:hAnsi="Arial" w:cs="Arial"/>
        </w:rPr>
      </w:pPr>
      <w:r w:rsidRPr="008610A8">
        <w:rPr>
          <w:rFonts w:ascii="Arial" w:hAnsi="Arial" w:cs="Arial"/>
        </w:rPr>
        <w:t>As part of participation in the community of practice</w:t>
      </w:r>
      <w:r w:rsidR="006104A3" w:rsidRPr="008610A8">
        <w:rPr>
          <w:rFonts w:ascii="Arial" w:hAnsi="Arial" w:cs="Arial"/>
        </w:rPr>
        <w:t>, faculty will:</w:t>
      </w:r>
    </w:p>
    <w:p w14:paraId="203385E5" w14:textId="6D697315" w:rsidR="00AE5036" w:rsidRPr="008610A8" w:rsidRDefault="2E8659CC" w:rsidP="2E8659C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8610A8">
        <w:rPr>
          <w:rFonts w:ascii="Arial" w:eastAsiaTheme="minorEastAsia" w:hAnsi="Arial" w:cs="Arial"/>
          <w:sz w:val="22"/>
          <w:szCs w:val="22"/>
        </w:rPr>
        <w:t>Revise course syllabi to include messaging and language proven to increase sense of belonging and growth mindset among students</w:t>
      </w:r>
      <w:r w:rsidR="00071E81">
        <w:rPr>
          <w:rFonts w:ascii="Arial" w:eastAsiaTheme="minorEastAsia" w:hAnsi="Arial" w:cs="Arial"/>
          <w:sz w:val="22"/>
          <w:szCs w:val="22"/>
        </w:rPr>
        <w:t>.</w:t>
      </w:r>
    </w:p>
    <w:p w14:paraId="55C3D4F1" w14:textId="6471662B" w:rsidR="008610A8" w:rsidRDefault="00FA4F3C" w:rsidP="2E8659C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course policies to </w:t>
      </w:r>
      <w:r w:rsidR="00DD3536">
        <w:rPr>
          <w:rFonts w:ascii="Arial" w:hAnsi="Arial" w:cs="Arial"/>
          <w:sz w:val="22"/>
          <w:szCs w:val="22"/>
        </w:rPr>
        <w:t>ensure equitable experiences for all students</w:t>
      </w:r>
      <w:r w:rsidR="00071E81">
        <w:rPr>
          <w:rFonts w:ascii="Arial" w:hAnsi="Arial" w:cs="Arial"/>
          <w:sz w:val="22"/>
          <w:szCs w:val="22"/>
        </w:rPr>
        <w:t>.</w:t>
      </w:r>
    </w:p>
    <w:p w14:paraId="14F6DABC" w14:textId="0F164568" w:rsidR="00DD3536" w:rsidRDefault="00DD3536" w:rsidP="2E8659C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Utilize </w:t>
      </w:r>
      <w:r w:rsidR="00E11272">
        <w:rPr>
          <w:rFonts w:ascii="Arial" w:hAnsi="Arial" w:cs="Arial"/>
          <w:sz w:val="22"/>
          <w:szCs w:val="22"/>
        </w:rPr>
        <w:t xml:space="preserve">approaches to giving critical feedback </w:t>
      </w:r>
      <w:r w:rsidR="00E11272" w:rsidRPr="00E11272">
        <w:rPr>
          <w:rFonts w:ascii="Arial" w:hAnsi="Arial" w:cs="Arial"/>
          <w:sz w:val="22"/>
          <w:szCs w:val="22"/>
        </w:rPr>
        <w:t>in a way that engenders trust, increases academic engagement, and helps close academic outcome gaps</w:t>
      </w:r>
      <w:r w:rsidR="00071E81">
        <w:rPr>
          <w:rFonts w:ascii="Arial" w:hAnsi="Arial" w:cs="Arial"/>
          <w:sz w:val="22"/>
          <w:szCs w:val="22"/>
        </w:rPr>
        <w:t>.</w:t>
      </w:r>
    </w:p>
    <w:p w14:paraId="666EF575" w14:textId="38577AFE" w:rsidR="00E11272" w:rsidRPr="008610A8" w:rsidRDefault="00FA332C" w:rsidP="2E8659C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 </w:t>
      </w:r>
      <w:r w:rsidR="00071E81">
        <w:rPr>
          <w:rFonts w:ascii="Arial" w:hAnsi="Arial" w:cs="Arial"/>
          <w:sz w:val="22"/>
          <w:szCs w:val="22"/>
        </w:rPr>
        <w:t>practices to establish an identity-safe classroom where all students feel welcome and respected.</w:t>
      </w:r>
    </w:p>
    <w:p w14:paraId="465AFD5A" w14:textId="479D797D" w:rsidR="0078070F" w:rsidRPr="008610A8" w:rsidRDefault="00A3262D" w:rsidP="2E8659CC">
      <w:pPr>
        <w:pStyle w:val="ListParagraph"/>
        <w:numPr>
          <w:ilvl w:val="0"/>
          <w:numId w:val="11"/>
        </w:numPr>
        <w:rPr>
          <w:rFonts w:ascii="Arial" w:eastAsiaTheme="minorEastAsia" w:hAnsi="Arial" w:cs="Arial"/>
          <w:sz w:val="22"/>
          <w:szCs w:val="22"/>
        </w:rPr>
      </w:pPr>
      <w:r w:rsidRPr="008610A8">
        <w:rPr>
          <w:rFonts w:ascii="Arial" w:eastAsiaTheme="minorEastAsia" w:hAnsi="Arial" w:cs="Arial"/>
          <w:sz w:val="22"/>
          <w:szCs w:val="22"/>
        </w:rPr>
        <w:t xml:space="preserve">Survey students [###] times throughout the term using </w:t>
      </w:r>
      <w:hyperlink r:id="rId11" w:history="1">
        <w:r w:rsidRPr="008610A8">
          <w:rPr>
            <w:rStyle w:val="Hyperlink"/>
            <w:rFonts w:ascii="Arial" w:eastAsiaTheme="minorEastAsia" w:hAnsi="Arial" w:cs="Arial"/>
            <w:sz w:val="22"/>
            <w:szCs w:val="22"/>
          </w:rPr>
          <w:t>Ascend</w:t>
        </w:r>
      </w:hyperlink>
      <w:r w:rsidRPr="008610A8">
        <w:rPr>
          <w:rFonts w:ascii="Arial" w:eastAsiaTheme="minorEastAsia" w:hAnsi="Arial" w:cs="Arial"/>
          <w:sz w:val="22"/>
          <w:szCs w:val="22"/>
        </w:rPr>
        <w:t xml:space="preserve">. </w:t>
      </w:r>
      <w:r w:rsidR="2E8659CC" w:rsidRPr="008610A8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0069D34C" w14:textId="6D163C42" w:rsidR="0078070F" w:rsidRPr="008610A8" w:rsidRDefault="2E8659CC" w:rsidP="2E8659CC">
      <w:pPr>
        <w:ind w:left="360"/>
        <w:rPr>
          <w:rFonts w:ascii="Arial" w:eastAsiaTheme="minorEastAsia" w:hAnsi="Arial" w:cs="Arial"/>
          <w:kern w:val="24"/>
        </w:rPr>
      </w:pPr>
      <w:r w:rsidRPr="008610A8">
        <w:rPr>
          <w:rFonts w:ascii="Arial" w:eastAsiaTheme="minorEastAsia" w:hAnsi="Arial" w:cs="Arial"/>
        </w:rPr>
        <w:t xml:space="preserve"> </w:t>
      </w:r>
    </w:p>
    <w:p w14:paraId="5A0E1011" w14:textId="06FB8B73" w:rsidR="00866184" w:rsidRPr="008610A8" w:rsidRDefault="00A3262D" w:rsidP="00EC6D71">
      <w:pPr>
        <w:rPr>
          <w:rFonts w:ascii="Arial" w:eastAsiaTheme="minorEastAsia" w:hAnsi="Arial" w:cs="Arial"/>
          <w:color w:val="000000" w:themeColor="text1"/>
          <w:kern w:val="24"/>
        </w:rPr>
      </w:pPr>
      <w:r w:rsidRPr="008610A8">
        <w:rPr>
          <w:rFonts w:ascii="Arial" w:eastAsiaTheme="minorEastAsia" w:hAnsi="Arial" w:cs="Arial"/>
          <w:color w:val="000000" w:themeColor="text1"/>
          <w:kern w:val="24"/>
          <w:highlight w:val="yellow"/>
        </w:rPr>
        <w:t>[You may wish to include a timeline here, particularly for any meetings or activities that will occur before the beginning of the term]</w:t>
      </w:r>
    </w:p>
    <w:sectPr w:rsidR="00866184" w:rsidRPr="008610A8" w:rsidSect="00D75643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0832C" w14:textId="77777777" w:rsidR="005F6132" w:rsidRDefault="005F6132" w:rsidP="001B7CC3">
      <w:pPr>
        <w:spacing w:after="0" w:line="240" w:lineRule="auto"/>
      </w:pPr>
      <w:r>
        <w:separator/>
      </w:r>
    </w:p>
  </w:endnote>
  <w:endnote w:type="continuationSeparator" w:id="0">
    <w:p w14:paraId="6B216C30" w14:textId="77777777" w:rsidR="005F6132" w:rsidRDefault="005F6132" w:rsidP="001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A056DE" w14:paraId="41A02D0F" w14:textId="77777777" w:rsidTr="34A056DE">
      <w:tc>
        <w:tcPr>
          <w:tcW w:w="3120" w:type="dxa"/>
        </w:tcPr>
        <w:p w14:paraId="3E016199" w14:textId="6063053F" w:rsidR="34A056DE" w:rsidRDefault="34A056DE" w:rsidP="34A056DE">
          <w:pPr>
            <w:pStyle w:val="Header"/>
            <w:ind w:left="-115"/>
          </w:pPr>
        </w:p>
      </w:tc>
      <w:tc>
        <w:tcPr>
          <w:tcW w:w="3120" w:type="dxa"/>
        </w:tcPr>
        <w:p w14:paraId="0294EAC4" w14:textId="5BC854B4" w:rsidR="34A056DE" w:rsidRDefault="34A056DE" w:rsidP="34A056DE">
          <w:pPr>
            <w:pStyle w:val="Header"/>
            <w:jc w:val="center"/>
          </w:pPr>
        </w:p>
      </w:tc>
      <w:tc>
        <w:tcPr>
          <w:tcW w:w="3120" w:type="dxa"/>
        </w:tcPr>
        <w:p w14:paraId="6F445889" w14:textId="1C686907" w:rsidR="34A056DE" w:rsidRDefault="34A056DE" w:rsidP="34A056DE">
          <w:pPr>
            <w:pStyle w:val="Header"/>
            <w:ind w:right="-115"/>
            <w:jc w:val="right"/>
          </w:pPr>
        </w:p>
      </w:tc>
    </w:tr>
  </w:tbl>
  <w:p w14:paraId="0F1BA99B" w14:textId="2A46ACF7" w:rsidR="34A056DE" w:rsidRDefault="34A056DE" w:rsidP="34A05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CE2CC" w14:textId="77777777" w:rsidR="005F6132" w:rsidRDefault="005F6132" w:rsidP="001B7CC3">
      <w:pPr>
        <w:spacing w:after="0" w:line="240" w:lineRule="auto"/>
      </w:pPr>
      <w:r>
        <w:separator/>
      </w:r>
    </w:p>
  </w:footnote>
  <w:footnote w:type="continuationSeparator" w:id="0">
    <w:p w14:paraId="7D61BD84" w14:textId="77777777" w:rsidR="005F6132" w:rsidRDefault="005F6132" w:rsidP="001B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A056DE" w14:paraId="5F475867" w14:textId="77777777" w:rsidTr="34A056DE">
      <w:tc>
        <w:tcPr>
          <w:tcW w:w="3120" w:type="dxa"/>
        </w:tcPr>
        <w:p w14:paraId="5BAD0D12" w14:textId="1DF23432" w:rsidR="34A056DE" w:rsidRDefault="34A056DE" w:rsidP="34A056DE">
          <w:pPr>
            <w:pStyle w:val="Header"/>
            <w:ind w:left="-115"/>
          </w:pPr>
        </w:p>
      </w:tc>
      <w:tc>
        <w:tcPr>
          <w:tcW w:w="3120" w:type="dxa"/>
        </w:tcPr>
        <w:p w14:paraId="0C9D6EF8" w14:textId="67F99603" w:rsidR="34A056DE" w:rsidRDefault="34A056DE" w:rsidP="34A056DE">
          <w:pPr>
            <w:pStyle w:val="Header"/>
            <w:jc w:val="center"/>
          </w:pPr>
        </w:p>
      </w:tc>
      <w:tc>
        <w:tcPr>
          <w:tcW w:w="3120" w:type="dxa"/>
        </w:tcPr>
        <w:p w14:paraId="34EDD993" w14:textId="45CE99D7" w:rsidR="34A056DE" w:rsidRDefault="34A056DE" w:rsidP="34A056DE">
          <w:pPr>
            <w:pStyle w:val="Header"/>
            <w:ind w:right="-115"/>
            <w:jc w:val="right"/>
          </w:pPr>
        </w:p>
      </w:tc>
    </w:tr>
  </w:tbl>
  <w:p w14:paraId="2039F7F7" w14:textId="7532F3DF" w:rsidR="34A056DE" w:rsidRDefault="34A056DE" w:rsidP="34A05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3BA9"/>
    <w:multiLevelType w:val="hybridMultilevel"/>
    <w:tmpl w:val="B03A1682"/>
    <w:lvl w:ilvl="0" w:tplc="CEEA7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A29840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28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2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07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05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4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3546D5"/>
    <w:multiLevelType w:val="hybridMultilevel"/>
    <w:tmpl w:val="A0C6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30F5A"/>
    <w:multiLevelType w:val="hybridMultilevel"/>
    <w:tmpl w:val="56A219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2222A"/>
    <w:multiLevelType w:val="hybridMultilevel"/>
    <w:tmpl w:val="CDCED354"/>
    <w:lvl w:ilvl="0" w:tplc="B44A2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980C14">
      <w:start w:val="294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008AB2">
      <w:start w:val="294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2D67E">
      <w:start w:val="29454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0B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CC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A4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43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4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ED7FF4"/>
    <w:multiLevelType w:val="hybridMultilevel"/>
    <w:tmpl w:val="1596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396"/>
    <w:multiLevelType w:val="hybridMultilevel"/>
    <w:tmpl w:val="7DAE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B0C66"/>
    <w:multiLevelType w:val="hybridMultilevel"/>
    <w:tmpl w:val="8C40F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C0AFE"/>
    <w:multiLevelType w:val="hybridMultilevel"/>
    <w:tmpl w:val="BFE2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8717E"/>
    <w:multiLevelType w:val="hybridMultilevel"/>
    <w:tmpl w:val="E8D8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26E25"/>
    <w:multiLevelType w:val="hybridMultilevel"/>
    <w:tmpl w:val="868C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749DE"/>
    <w:multiLevelType w:val="hybridMultilevel"/>
    <w:tmpl w:val="F7783EF0"/>
    <w:lvl w:ilvl="0" w:tplc="DEE23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20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A48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015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8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44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6D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C8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6D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D54DE"/>
    <w:multiLevelType w:val="hybridMultilevel"/>
    <w:tmpl w:val="46D00176"/>
    <w:lvl w:ilvl="0" w:tplc="672C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C20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2C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A1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EA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2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C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09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07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8B9"/>
    <w:rsid w:val="0002211A"/>
    <w:rsid w:val="00024688"/>
    <w:rsid w:val="000457D2"/>
    <w:rsid w:val="00053537"/>
    <w:rsid w:val="00062A89"/>
    <w:rsid w:val="00071E81"/>
    <w:rsid w:val="000771D7"/>
    <w:rsid w:val="000B3187"/>
    <w:rsid w:val="000C1868"/>
    <w:rsid w:val="000C3E56"/>
    <w:rsid w:val="000E58BE"/>
    <w:rsid w:val="000F4B6C"/>
    <w:rsid w:val="00110E77"/>
    <w:rsid w:val="00123CF3"/>
    <w:rsid w:val="00164C08"/>
    <w:rsid w:val="0018575C"/>
    <w:rsid w:val="00191715"/>
    <w:rsid w:val="001B7CC3"/>
    <w:rsid w:val="001C7AF6"/>
    <w:rsid w:val="001E314E"/>
    <w:rsid w:val="00221850"/>
    <w:rsid w:val="00221B6B"/>
    <w:rsid w:val="002525BE"/>
    <w:rsid w:val="00271246"/>
    <w:rsid w:val="002A1DB5"/>
    <w:rsid w:val="002A359B"/>
    <w:rsid w:val="002A35EE"/>
    <w:rsid w:val="002B1599"/>
    <w:rsid w:val="002B69AA"/>
    <w:rsid w:val="002D1498"/>
    <w:rsid w:val="002D59DA"/>
    <w:rsid w:val="00312F44"/>
    <w:rsid w:val="003152F1"/>
    <w:rsid w:val="00327213"/>
    <w:rsid w:val="0033374D"/>
    <w:rsid w:val="003337BB"/>
    <w:rsid w:val="00342510"/>
    <w:rsid w:val="0034628F"/>
    <w:rsid w:val="003B66D5"/>
    <w:rsid w:val="003C2DAD"/>
    <w:rsid w:val="003D5C39"/>
    <w:rsid w:val="003E6FD8"/>
    <w:rsid w:val="003F4AB3"/>
    <w:rsid w:val="00403189"/>
    <w:rsid w:val="00431F8D"/>
    <w:rsid w:val="004320CF"/>
    <w:rsid w:val="00454A04"/>
    <w:rsid w:val="0047433E"/>
    <w:rsid w:val="00475102"/>
    <w:rsid w:val="004A20DA"/>
    <w:rsid w:val="004B0210"/>
    <w:rsid w:val="004B6EDC"/>
    <w:rsid w:val="0053766E"/>
    <w:rsid w:val="00567CDB"/>
    <w:rsid w:val="0058548D"/>
    <w:rsid w:val="00592290"/>
    <w:rsid w:val="005A6D2B"/>
    <w:rsid w:val="005B5F21"/>
    <w:rsid w:val="005C44D5"/>
    <w:rsid w:val="005D2560"/>
    <w:rsid w:val="005D2E52"/>
    <w:rsid w:val="005F6132"/>
    <w:rsid w:val="00602DC1"/>
    <w:rsid w:val="006072CF"/>
    <w:rsid w:val="006104A3"/>
    <w:rsid w:val="006105D4"/>
    <w:rsid w:val="006114D5"/>
    <w:rsid w:val="0064022B"/>
    <w:rsid w:val="00661D93"/>
    <w:rsid w:val="00671978"/>
    <w:rsid w:val="0067510E"/>
    <w:rsid w:val="00677349"/>
    <w:rsid w:val="0072188D"/>
    <w:rsid w:val="0076590C"/>
    <w:rsid w:val="00772EA9"/>
    <w:rsid w:val="0078070F"/>
    <w:rsid w:val="00790585"/>
    <w:rsid w:val="007B7572"/>
    <w:rsid w:val="007B75D4"/>
    <w:rsid w:val="007F320C"/>
    <w:rsid w:val="007F45D7"/>
    <w:rsid w:val="00805EAD"/>
    <w:rsid w:val="0083615C"/>
    <w:rsid w:val="00837692"/>
    <w:rsid w:val="00842028"/>
    <w:rsid w:val="008610A8"/>
    <w:rsid w:val="00866184"/>
    <w:rsid w:val="00894AD7"/>
    <w:rsid w:val="008B31E6"/>
    <w:rsid w:val="008F043E"/>
    <w:rsid w:val="008F5FF3"/>
    <w:rsid w:val="009243F0"/>
    <w:rsid w:val="00971718"/>
    <w:rsid w:val="0097318B"/>
    <w:rsid w:val="00987145"/>
    <w:rsid w:val="00993385"/>
    <w:rsid w:val="009971A8"/>
    <w:rsid w:val="009A29A8"/>
    <w:rsid w:val="009A4E24"/>
    <w:rsid w:val="009D4058"/>
    <w:rsid w:val="009E0C78"/>
    <w:rsid w:val="009F02E1"/>
    <w:rsid w:val="009F06FE"/>
    <w:rsid w:val="00A044CE"/>
    <w:rsid w:val="00A22DD5"/>
    <w:rsid w:val="00A236DF"/>
    <w:rsid w:val="00A25FF6"/>
    <w:rsid w:val="00A3262D"/>
    <w:rsid w:val="00A64F6D"/>
    <w:rsid w:val="00A86CB1"/>
    <w:rsid w:val="00A94371"/>
    <w:rsid w:val="00AA5142"/>
    <w:rsid w:val="00AE04EB"/>
    <w:rsid w:val="00AE1B74"/>
    <w:rsid w:val="00AE5036"/>
    <w:rsid w:val="00AF160C"/>
    <w:rsid w:val="00B06219"/>
    <w:rsid w:val="00B06A85"/>
    <w:rsid w:val="00B10DA8"/>
    <w:rsid w:val="00B1596E"/>
    <w:rsid w:val="00B27E56"/>
    <w:rsid w:val="00B32757"/>
    <w:rsid w:val="00B400DC"/>
    <w:rsid w:val="00B67E62"/>
    <w:rsid w:val="00B67ED5"/>
    <w:rsid w:val="00B735E2"/>
    <w:rsid w:val="00B7449C"/>
    <w:rsid w:val="00B85A45"/>
    <w:rsid w:val="00B91F71"/>
    <w:rsid w:val="00B97012"/>
    <w:rsid w:val="00BA56E8"/>
    <w:rsid w:val="00BA5EA8"/>
    <w:rsid w:val="00BC5035"/>
    <w:rsid w:val="00C032A3"/>
    <w:rsid w:val="00C0663D"/>
    <w:rsid w:val="00C14CDB"/>
    <w:rsid w:val="00C24BB0"/>
    <w:rsid w:val="00C527D8"/>
    <w:rsid w:val="00C74641"/>
    <w:rsid w:val="00C83BF7"/>
    <w:rsid w:val="00C867D8"/>
    <w:rsid w:val="00C92A3B"/>
    <w:rsid w:val="00C96B85"/>
    <w:rsid w:val="00CD150F"/>
    <w:rsid w:val="00CE4F16"/>
    <w:rsid w:val="00CF1899"/>
    <w:rsid w:val="00CF46D6"/>
    <w:rsid w:val="00CF58A1"/>
    <w:rsid w:val="00D07958"/>
    <w:rsid w:val="00D17EF9"/>
    <w:rsid w:val="00D248B9"/>
    <w:rsid w:val="00D44BEB"/>
    <w:rsid w:val="00D61EED"/>
    <w:rsid w:val="00D71BCF"/>
    <w:rsid w:val="00D73708"/>
    <w:rsid w:val="00D75643"/>
    <w:rsid w:val="00D82322"/>
    <w:rsid w:val="00D935D4"/>
    <w:rsid w:val="00DB50E0"/>
    <w:rsid w:val="00DB5CE3"/>
    <w:rsid w:val="00DD3536"/>
    <w:rsid w:val="00DF2962"/>
    <w:rsid w:val="00E0483E"/>
    <w:rsid w:val="00E11272"/>
    <w:rsid w:val="00E37881"/>
    <w:rsid w:val="00E63270"/>
    <w:rsid w:val="00E701BC"/>
    <w:rsid w:val="00E94175"/>
    <w:rsid w:val="00E96C1C"/>
    <w:rsid w:val="00EC6D71"/>
    <w:rsid w:val="00EE4AB0"/>
    <w:rsid w:val="00EF24D8"/>
    <w:rsid w:val="00EF7DC7"/>
    <w:rsid w:val="00F17923"/>
    <w:rsid w:val="00F40C02"/>
    <w:rsid w:val="00F7652C"/>
    <w:rsid w:val="00F813A6"/>
    <w:rsid w:val="00F83EF4"/>
    <w:rsid w:val="00F916A9"/>
    <w:rsid w:val="00FA3109"/>
    <w:rsid w:val="00FA332C"/>
    <w:rsid w:val="00FA4F3C"/>
    <w:rsid w:val="00FC0130"/>
    <w:rsid w:val="00FC0A9B"/>
    <w:rsid w:val="00FD3676"/>
    <w:rsid w:val="00FD4106"/>
    <w:rsid w:val="00FE08E6"/>
    <w:rsid w:val="00FF4042"/>
    <w:rsid w:val="2D664A91"/>
    <w:rsid w:val="2E8659CC"/>
    <w:rsid w:val="34A056DE"/>
    <w:rsid w:val="52B58469"/>
    <w:rsid w:val="6215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3C194"/>
  <w15:chartTrackingRefBased/>
  <w15:docId w15:val="{4A257EC3-D4C0-4339-A643-8844C56C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6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1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8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16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16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B3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3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3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8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7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8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7D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376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C3"/>
  </w:style>
  <w:style w:type="paragraph" w:styleId="Footer">
    <w:name w:val="footer"/>
    <w:basedOn w:val="Normal"/>
    <w:link w:val="FooterChar"/>
    <w:uiPriority w:val="99"/>
    <w:unhideWhenUsed/>
    <w:rsid w:val="001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C3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85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18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0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44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1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84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14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5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9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3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erts.net/ascen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erts.net/ascen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E1CA15AAC2245AE430B638EAEFFDE" ma:contentTypeVersion="5" ma:contentTypeDescription="Create a new document." ma:contentTypeScope="" ma:versionID="d216df80880cfea1ccd743173fe491b5">
  <xsd:schema xmlns:xsd="http://www.w3.org/2001/XMLSchema" xmlns:xs="http://www.w3.org/2001/XMLSchema" xmlns:p="http://schemas.microsoft.com/office/2006/metadata/properties" xmlns:ns3="fdb37865-ed71-4b39-a48c-2bca3df31fdd" targetNamespace="http://schemas.microsoft.com/office/2006/metadata/properties" ma:root="true" ma:fieldsID="501d15f5133f69602f01ba5153513d1e" ns3:_="">
    <xsd:import namespace="fdb37865-ed71-4b39-a48c-2bca3df31f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7865-ed71-4b39-a48c-2bca3df31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E36F8-50A2-447E-9C31-9DE779556A8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fdb37865-ed71-4b39-a48c-2bca3df31fd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6023EE-125F-409E-BD0E-D9A913B85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B67D7-37A8-459F-B88B-EA907C63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37865-ed71-4b39-a48c-2bca3df31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2040</Characters>
  <Application>Microsoft Office Word</Application>
  <DocSecurity>0</DocSecurity>
  <Lines>63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Brabender, Lynn</dc:creator>
  <cp:keywords/>
  <dc:description/>
  <cp:lastModifiedBy>Levine, Samantha</cp:lastModifiedBy>
  <cp:revision>8</cp:revision>
  <dcterms:created xsi:type="dcterms:W3CDTF">2022-06-11T15:25:00Z</dcterms:created>
  <dcterms:modified xsi:type="dcterms:W3CDTF">2022-06-11T15:37:00Z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0x010100F9EE1CA15AAC2245AE430B638EAEFFDE</vt:lpwstr>
  </property>
</Properties>
</file>